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b/>
          <w:sz w:val="32"/>
          <w:szCs w:val="32"/>
        </w:rPr>
        <w:t>内部资料 注意保存</w:t>
      </w:r>
    </w:p>
    <w:p>
      <w:pPr>
        <w:spacing w:line="400" w:lineRule="exact"/>
        <w:jc w:val="center"/>
        <w:rPr>
          <w:rFonts w:ascii="黑体" w:hAnsi="黑体" w:eastAsia="黑体" w:cs="黑体"/>
          <w:sz w:val="32"/>
          <w:szCs w:val="32"/>
        </w:rPr>
      </w:pPr>
    </w:p>
    <w:p>
      <w:pPr>
        <w:spacing w:line="400" w:lineRule="exact"/>
        <w:rPr>
          <w:rFonts w:ascii="仿宋_GB2312" w:hAnsi="仿宋_GB2312" w:eastAsia="仿宋_GB2312" w:cs="仿宋_GB2312"/>
          <w:sz w:val="32"/>
          <w:szCs w:val="32"/>
        </w:rPr>
      </w:pPr>
    </w:p>
    <w:p>
      <w:pPr>
        <w:spacing w:line="300" w:lineRule="exact"/>
        <w:rPr>
          <w:rFonts w:ascii="仿宋_GB2312" w:eastAsia="仿宋_GB2312"/>
          <w:sz w:val="32"/>
          <w:szCs w:val="32"/>
        </w:rPr>
      </w:pPr>
    </w:p>
    <w:p>
      <w:pPr>
        <w:spacing w:line="300" w:lineRule="exact"/>
        <w:rPr>
          <w:rFonts w:ascii="仿宋_GB2312" w:eastAsia="仿宋_GB2312"/>
          <w:sz w:val="32"/>
          <w:szCs w:val="32"/>
        </w:rPr>
      </w:pPr>
    </w:p>
    <w:p>
      <w:pPr>
        <w:spacing w:line="240" w:lineRule="exact"/>
        <w:rPr>
          <w:rFonts w:ascii="仿宋_GB2312" w:eastAsia="仿宋_GB2312"/>
          <w:sz w:val="32"/>
          <w:szCs w:val="32"/>
        </w:rPr>
      </w:pPr>
    </w:p>
    <w:p>
      <w:pPr>
        <w:pStyle w:val="2"/>
      </w:pPr>
    </w:p>
    <w:p>
      <w:pPr>
        <w:spacing w:line="200" w:lineRule="exact"/>
        <w:rPr>
          <w:rFonts w:ascii="仿宋_GB2312" w:eastAsia="仿宋_GB2312"/>
          <w:sz w:val="32"/>
          <w:szCs w:val="32"/>
        </w:rPr>
      </w:pPr>
      <w:r>
        <w:rPr>
          <w:rFonts w:hint="eastAsia" w:ascii="仿宋_GB2312" w:eastAsia="仿宋_GB2312"/>
          <w:sz w:val="32"/>
          <w:szCs w:val="32"/>
        </w:rPr>
        <w:t xml:space="preserve">               </w:t>
      </w:r>
    </w:p>
    <w:p>
      <w:pPr>
        <w:spacing w:line="200" w:lineRule="exact"/>
        <w:rPr>
          <w:rFonts w:ascii="仿宋_GB2312" w:eastAsia="仿宋_GB2312"/>
          <w:sz w:val="32"/>
          <w:szCs w:val="32"/>
        </w:rPr>
      </w:pPr>
    </w:p>
    <w:p>
      <w:pPr>
        <w:spacing w:line="460" w:lineRule="exact"/>
        <w:rPr>
          <w:rFonts w:ascii="仿宋_GB2312" w:eastAsia="仿宋_GB2312"/>
          <w:sz w:val="32"/>
          <w:szCs w:val="32"/>
        </w:rPr>
      </w:pPr>
      <w:r>
        <w:rPr>
          <w:rFonts w:hint="eastAsia" w:ascii="仿宋_GB2312" w:eastAsia="仿宋_GB2312"/>
          <w:sz w:val="32"/>
          <w:szCs w:val="32"/>
        </w:rPr>
        <w:t xml:space="preserve">                       (总第</w:t>
      </w:r>
      <w:r>
        <w:rPr>
          <w:rFonts w:hint="eastAsia" w:ascii="仿宋_GB2312" w:eastAsia="仿宋_GB2312"/>
          <w:sz w:val="32"/>
          <w:szCs w:val="32"/>
          <w:lang w:val="en-US" w:eastAsia="zh-CN"/>
        </w:rPr>
        <w:t>6</w:t>
      </w:r>
      <w:r>
        <w:rPr>
          <w:rFonts w:hint="eastAsia" w:ascii="仿宋_GB2312" w:eastAsia="仿宋_GB2312"/>
          <w:sz w:val="32"/>
          <w:szCs w:val="32"/>
        </w:rPr>
        <w:t>期)</w:t>
      </w:r>
    </w:p>
    <w:p>
      <w:pPr>
        <w:tabs>
          <w:tab w:val="left" w:pos="7056"/>
        </w:tabs>
        <w:spacing w:line="460" w:lineRule="exact"/>
        <w:rPr>
          <w:rFonts w:hint="eastAsia" w:ascii="黑体" w:eastAsia="黑体"/>
          <w:sz w:val="32"/>
          <w:szCs w:val="32"/>
          <w:lang w:val="en-US" w:eastAsia="zh-CN"/>
        </w:rPr>
      </w:pPr>
      <w:r>
        <w:rPr>
          <w:rFonts w:hint="eastAsia" w:ascii="黑体" w:eastAsia="黑体"/>
          <w:sz w:val="32"/>
          <w:szCs w:val="32"/>
        </w:rPr>
        <w:t xml:space="preserve">                            </w:t>
      </w:r>
      <w:r>
        <w:rPr>
          <w:rFonts w:hint="eastAsia" w:ascii="黑体" w:eastAsia="黑体"/>
          <w:sz w:val="32"/>
          <w:szCs w:val="32"/>
          <w:lang w:val="en-US" w:eastAsia="zh-CN"/>
        </w:rPr>
        <w:t>6</w:t>
      </w:r>
      <w:r>
        <w:rPr>
          <w:rFonts w:hint="eastAsia" w:ascii="黑体" w:eastAsia="黑体"/>
          <w:sz w:val="32"/>
          <w:szCs w:val="32"/>
          <w:lang w:val="en-US" w:eastAsia="zh-CN"/>
        </w:rPr>
        <w:tab/>
      </w:r>
      <w:bookmarkStart w:id="0" w:name="_GoBack"/>
      <w:bookmarkEnd w:id="0"/>
    </w:p>
    <w:p>
      <w:pPr>
        <w:spacing w:line="360" w:lineRule="exact"/>
        <w:rPr>
          <w:rFonts w:ascii="黑体" w:eastAsia="黑体"/>
          <w:sz w:val="32"/>
          <w:szCs w:val="32"/>
        </w:rPr>
      </w:pPr>
    </w:p>
    <w:p>
      <w:pPr>
        <w:spacing w:line="700" w:lineRule="exact"/>
        <w:ind w:firstLine="320" w:firstLineChars="100"/>
        <w:rPr>
          <w:rFonts w:hint="eastAsia" w:ascii="仿宋_GB2312" w:eastAsia="仿宋_GB2312"/>
          <w:sz w:val="32"/>
          <w:szCs w:val="32"/>
        </w:rPr>
      </w:pPr>
      <w:r>
        <w:rPr>
          <w:rFonts w:hint="eastAsia" w:ascii="仿宋_GB2312" w:hAnsi="仿宋_GB2312" w:eastAsia="仿宋_GB2312" w:cs="仿宋_GB2312"/>
          <w:b w:val="0"/>
          <w:bCs w:val="0"/>
          <w:sz w:val="32"/>
          <w:szCs w:val="32"/>
          <w:lang w:val="en-US" w:eastAsia="zh-CN"/>
        </w:rPr>
        <w:t>中共</w:t>
      </w:r>
      <w:r>
        <w:rPr>
          <w:rFonts w:hint="eastAsia" w:ascii="仿宋_GB2312" w:hAnsi="仿宋_GB2312" w:eastAsia="仿宋_GB2312" w:cs="仿宋_GB2312"/>
          <w:b w:val="0"/>
          <w:bCs w:val="0"/>
          <w:sz w:val="32"/>
          <w:szCs w:val="32"/>
        </w:rPr>
        <w:t>绵阳力源教育投资有限公司委员会</w:t>
      </w:r>
      <w:r>
        <w:rPr>
          <w:rFonts w:hint="eastAsia" w:ascii="仿宋_GB2312" w:hAnsi="仿宋_GB2312" w:eastAsia="仿宋_GB2312" w:cs="仿宋_GB2312"/>
          <w:sz w:val="32"/>
          <w:szCs w:val="32"/>
        </w:rPr>
        <w:t xml:space="preserve"> </w:t>
      </w:r>
      <w:r>
        <w:rPr>
          <w:rFonts w:hint="eastAsia" w:ascii="仿宋_GB2312" w:eastAsia="仿宋_GB2312"/>
          <w:sz w:val="32"/>
          <w:szCs w:val="32"/>
        </w:rPr>
        <w:t xml:space="preserve">   2019年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700" w:lineRule="exact"/>
        <w:jc w:val="both"/>
        <w:textAlignment w:val="auto"/>
        <w:outlineLvl w:val="9"/>
        <w:rPr>
          <w:rFonts w:hint="eastAsia" w:ascii="方正小标宋简体" w:hAnsi="方正小标宋简体" w:eastAsia="方正小标宋简体" w:cs="方正小标宋简体"/>
          <w:b w:val="0"/>
          <w:bCs/>
          <w:sz w:val="44"/>
          <w:szCs w:val="44"/>
        </w:rPr>
      </w:pPr>
    </w:p>
    <w:p>
      <w:pPr>
        <w:jc w:val="center"/>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中共绵阳力源教育投资有限公司委员会</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召开听取主题教育工作进展和</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专项整治情况汇报会</w:t>
      </w:r>
    </w:p>
    <w:p>
      <w:pPr>
        <w:pStyle w:val="2"/>
        <w:rPr>
          <w:rFonts w:hint="eastAsia" w:ascii="方正小标宋简体" w:hAnsi="方正小标宋简体" w:eastAsia="方正小标宋简体" w:cs="方正小标宋简体"/>
          <w:b w:val="0"/>
          <w:bCs w:val="0"/>
          <w:sz w:val="44"/>
          <w:szCs w:val="44"/>
        </w:rPr>
      </w:pPr>
    </w:p>
    <w:p>
      <w:pPr>
        <w:jc w:val="center"/>
        <w:rPr>
          <w:rFonts w:hint="eastAsia" w:ascii="宋体" w:hAnsi="宋体" w:eastAsia="宋体" w:cs="宋体"/>
          <w:sz w:val="28"/>
          <w:szCs w:val="32"/>
        </w:rPr>
      </w:pPr>
      <w:r>
        <w:rPr>
          <w:sz w:val="32"/>
          <w:szCs w:val="32"/>
        </w:rPr>
        <w:drawing>
          <wp:inline distT="0" distB="0" distL="0" distR="0">
            <wp:extent cx="4808855" cy="3206750"/>
            <wp:effectExtent l="0" t="0" r="10795" b="12700"/>
            <wp:docPr id="3" name="图片 1" descr="C:\Users\Administrator\Desktop\2019.10.17力源公司主题教育情况汇报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2019.10.17力源公司主题教育情况汇报会.JPG"/>
                    <pic:cNvPicPr>
                      <a:picLocks noChangeAspect="1" noChangeArrowheads="1"/>
                    </pic:cNvPicPr>
                  </pic:nvPicPr>
                  <pic:blipFill>
                    <a:blip r:embed="rId5" cstate="print"/>
                    <a:srcRect/>
                    <a:stretch>
                      <a:fillRect/>
                    </a:stretch>
                  </pic:blipFill>
                  <pic:spPr>
                    <a:xfrm>
                      <a:off x="0" y="0"/>
                      <a:ext cx="4808704" cy="3206582"/>
                    </a:xfrm>
                    <a:prstGeom prst="rect">
                      <a:avLst/>
                    </a:prstGeom>
                    <a:noFill/>
                    <a:ln w="9525">
                      <a:noFill/>
                      <a:miter lim="800000"/>
                      <a:headEnd/>
                      <a:tailEnd/>
                    </a:ln>
                  </pic:spPr>
                </pic:pic>
              </a:graphicData>
            </a:graphic>
          </wp:inline>
        </w:drawing>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月18日，中共绵阳力源教育投资有限公司委员会“不忘初心、牢记使命”主题教育领导小组召开听取主题教育工作进展和专项整治情况汇报会，力源公司党委书记邓斌教授首先通报了我司“不忘初心、牢记使命”主题教育工作进展情况，并传达了省委教育工委第十巡回指导组在中共绵阳力源教育投资有限公司委员会领导班子对照党章党规找差距专题会上的意见和要求。</w:t>
      </w:r>
    </w:p>
    <w:p>
      <w:pPr>
        <w:pStyle w:val="2"/>
        <w:rPr>
          <w:rFonts w:hint="eastAsia"/>
        </w:rPr>
      </w:pPr>
    </w:p>
    <w:p>
      <w:pPr>
        <w:jc w:val="center"/>
        <w:rPr>
          <w:sz w:val="32"/>
          <w:szCs w:val="32"/>
        </w:rPr>
      </w:pPr>
      <w:r>
        <w:rPr>
          <w:sz w:val="32"/>
          <w:szCs w:val="32"/>
        </w:rPr>
        <w:drawing>
          <wp:inline distT="0" distB="0" distL="0" distR="0">
            <wp:extent cx="4736465" cy="3171190"/>
            <wp:effectExtent l="0" t="0" r="6985" b="10160"/>
            <wp:docPr id="2" name="图片 2" descr="C:\Users\Administrator\Desktop\`~)EDRH~%]LZY@WFC6`VE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EDRH~%]LZY@WFC6`VEKL.png"/>
                    <pic:cNvPicPr>
                      <a:picLocks noChangeAspect="1" noChangeArrowheads="1"/>
                    </pic:cNvPicPr>
                  </pic:nvPicPr>
                  <pic:blipFill>
                    <a:blip r:embed="rId6" cstate="print"/>
                    <a:srcRect/>
                    <a:stretch>
                      <a:fillRect/>
                    </a:stretch>
                  </pic:blipFill>
                  <pic:spPr>
                    <a:xfrm>
                      <a:off x="0" y="0"/>
                      <a:ext cx="4736465" cy="3171190"/>
                    </a:xfrm>
                    <a:prstGeom prst="rect">
                      <a:avLst/>
                    </a:prstGeom>
                    <a:noFill/>
                    <a:ln w="9525">
                      <a:noFill/>
                      <a:miter lim="800000"/>
                      <a:headEnd/>
                      <a:tailEnd/>
                    </a:ln>
                  </pic:spPr>
                </pic:pic>
              </a:graphicData>
            </a:graphic>
          </wp:inline>
        </w:drawing>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后，学校董事长、校长邓斌教授讲到，一定要增加措施，深入学习贯彻习近平总书记在“不忘初心、牢记使命”主题教育工作会上的重要讲话精神，领会“不忘初心、牢记使命”的含义，做好自身工作，坚持为党育人、为国育才。领导干部要充分发挥模范带头作用，在横向上找差距，从纵向上找优点。目前我校与一流学校还有差距，主要表现在规模上，在按我校教育教学科研会议要求做好内涵建设的同时，要适度扩大规模。</w:t>
      </w:r>
    </w:p>
    <w:p>
      <w:pPr>
        <w:pStyle w:val="2"/>
      </w:pPr>
    </w:p>
    <w:p>
      <w:pPr>
        <w:jc w:val="both"/>
        <w:rPr>
          <w:rFonts w:hint="eastAsia"/>
          <w:sz w:val="32"/>
          <w:szCs w:val="32"/>
        </w:rPr>
      </w:pPr>
    </w:p>
    <w:p>
      <w:pPr>
        <w:jc w:val="center"/>
        <w:rPr>
          <w:sz w:val="32"/>
          <w:szCs w:val="32"/>
        </w:rPr>
      </w:pPr>
      <w:r>
        <w:rPr>
          <w:rFonts w:hint="eastAsia"/>
          <w:sz w:val="32"/>
          <w:szCs w:val="32"/>
        </w:rPr>
        <w:drawing>
          <wp:inline distT="0" distB="0" distL="114300" distR="114300">
            <wp:extent cx="4100830" cy="2736850"/>
            <wp:effectExtent l="0" t="0" r="13970" b="6350"/>
            <wp:docPr id="4" name="图片 4" descr="袁书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袁书记"/>
                    <pic:cNvPicPr>
                      <a:picLocks noChangeAspect="1"/>
                    </pic:cNvPicPr>
                  </pic:nvPicPr>
                  <pic:blipFill>
                    <a:blip r:embed="rId7" cstate="print"/>
                    <a:stretch>
                      <a:fillRect/>
                    </a:stretch>
                  </pic:blipFill>
                  <pic:spPr>
                    <a:xfrm>
                      <a:off x="0" y="0"/>
                      <a:ext cx="4100830" cy="2736850"/>
                    </a:xfrm>
                    <a:prstGeom prst="rect">
                      <a:avLst/>
                    </a:prstGeom>
                  </pic:spPr>
                </pic:pic>
              </a:graphicData>
            </a:graphic>
          </wp:inline>
        </w:drawing>
      </w:r>
    </w:p>
    <w:p>
      <w:pPr>
        <w:spacing w:line="560" w:lineRule="exact"/>
        <w:ind w:firstLine="560" w:firstLineChars="200"/>
        <w:rPr>
          <w:rFonts w:hint="eastAsia" w:ascii="宋体" w:hAnsi="宋体" w:eastAsia="宋体" w:cs="宋体"/>
          <w:sz w:val="28"/>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接着，四川汽车职业技术学院党委书记袁应柏教授发表了意见，他讲到，一定要认真领会学习习近平重要讲话精神，进一步提高政治站位，聚焦问题、突出重点。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后，董事长、党委书记邓斌教授针对下一步“不忘初心、牢记使命”主题教育工作安排部署提出了意见，他说到，一定要梳理问题清单，真正把“改”字贯穿始终，明确努力方向，制定整改措施，按要求做好“不忘初心、牢记使命”主题教育各项工作，确保主题教育取得扎实成效。</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2880" w:firstLineChars="9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2880" w:firstLineChars="9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2880" w:firstLineChars="900"/>
        <w:jc w:val="both"/>
        <w:textAlignment w:val="auto"/>
        <w:rPr>
          <w:rFonts w:ascii="仿宋_GB2312" w:eastAsia="仿宋_GB2312"/>
          <w:bCs/>
          <w:sz w:val="32"/>
          <w:szCs w:val="32"/>
        </w:rPr>
      </w:pPr>
      <w:r>
        <w:rPr>
          <w:rFonts w:hint="eastAsia" w:ascii="仿宋_GB2312" w:hAnsi="仿宋_GB2312" w:eastAsia="仿宋_GB2312" w:cs="仿宋_GB2312"/>
          <w:b w:val="0"/>
          <w:bCs w:val="0"/>
          <w:sz w:val="32"/>
          <w:szCs w:val="32"/>
          <w:lang w:val="en-US" w:eastAsia="zh-CN"/>
        </w:rPr>
        <w:t>中国共产党</w:t>
      </w:r>
      <w:r>
        <w:rPr>
          <w:rFonts w:hint="eastAsia" w:ascii="仿宋_GB2312" w:hAnsi="仿宋_GB2312" w:eastAsia="仿宋_GB2312" w:cs="仿宋_GB2312"/>
          <w:b w:val="0"/>
          <w:bCs w:val="0"/>
          <w:sz w:val="32"/>
          <w:szCs w:val="32"/>
        </w:rPr>
        <w:t>绵阳力源教育投资有限公司委员会</w:t>
      </w:r>
      <w:r>
        <w:rPr>
          <w:rFonts w:hint="eastAsia" w:ascii="仿宋_GB2312" w:hAnsi="仿宋_GB2312" w:eastAsia="仿宋_GB2312" w:cs="仿宋_GB2312"/>
          <w:bCs/>
          <w:sz w:val="32"/>
          <w:szCs w:val="32"/>
        </w:rPr>
        <w:t xml:space="preserve">       </w:t>
      </w:r>
      <w:r>
        <w:rPr>
          <w:rFonts w:hint="eastAsia" w:ascii="仿宋_GB2312" w:eastAsia="仿宋_GB2312"/>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Cs/>
          <w:sz w:val="32"/>
          <w:szCs w:val="32"/>
        </w:rPr>
      </w:pPr>
      <w:r>
        <w:rPr>
          <w:rFonts w:hint="eastAsia" w:ascii="仿宋_GB2312" w:eastAsia="仿宋_GB2312"/>
          <w:bCs/>
          <w:sz w:val="32"/>
          <w:szCs w:val="32"/>
        </w:rPr>
        <w:t xml:space="preserve">                         </w:t>
      </w:r>
      <w:r>
        <w:rPr>
          <w:rFonts w:hint="eastAsia" w:ascii="仿宋_GB2312" w:eastAsia="仿宋_GB2312"/>
          <w:bCs/>
          <w:sz w:val="32"/>
          <w:szCs w:val="32"/>
          <w:lang w:val="en-US" w:eastAsia="zh-CN"/>
        </w:rPr>
        <w:t xml:space="preserve">  </w:t>
      </w:r>
      <w:r>
        <w:rPr>
          <w:rFonts w:hint="eastAsia" w:ascii="仿宋_GB2312" w:eastAsia="仿宋_GB2312"/>
          <w:bCs/>
          <w:sz w:val="32"/>
          <w:szCs w:val="32"/>
        </w:rPr>
        <w:t>2019年</w:t>
      </w:r>
      <w:r>
        <w:rPr>
          <w:rFonts w:hint="eastAsia" w:ascii="仿宋_GB2312" w:eastAsia="仿宋_GB2312"/>
          <w:bCs/>
          <w:sz w:val="32"/>
          <w:szCs w:val="32"/>
          <w:lang w:val="en-US" w:eastAsia="zh-CN"/>
        </w:rPr>
        <w:t>10</w:t>
      </w:r>
      <w:r>
        <w:rPr>
          <w:rFonts w:hint="eastAsia" w:ascii="仿宋_GB2312" w:eastAsia="仿宋_GB2312"/>
          <w:bCs/>
          <w:sz w:val="32"/>
          <w:szCs w:val="32"/>
        </w:rPr>
        <w:t>月</w:t>
      </w:r>
      <w:r>
        <w:rPr>
          <w:rFonts w:hint="eastAsia" w:ascii="仿宋_GB2312" w:eastAsia="仿宋_GB2312"/>
          <w:bCs/>
          <w:sz w:val="32"/>
          <w:szCs w:val="32"/>
          <w:lang w:val="en-US" w:eastAsia="zh-CN"/>
        </w:rPr>
        <w:t>18</w:t>
      </w:r>
      <w:r>
        <w:rPr>
          <w:rFonts w:hint="eastAsia" w:ascii="仿宋_GB2312" w:eastAsia="仿宋_GB2312"/>
          <w:bCs/>
          <w:sz w:val="32"/>
          <w:szCs w:val="32"/>
        </w:rPr>
        <w:t>日</w:t>
      </w: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default" w:ascii="仿宋_GB2312" w:eastAsia="仿宋_GB2312"/>
          <w:b w:val="0"/>
          <w:bCs/>
          <w:sz w:val="28"/>
          <w:szCs w:val="28"/>
          <w:u w:val="single"/>
          <w:lang w:val="en-US" w:eastAsia="zh-CN"/>
        </w:rPr>
      </w:pPr>
      <w:r>
        <w:rPr>
          <w:rFonts w:hint="eastAsia" w:ascii="仿宋_GB2312" w:eastAsia="仿宋_GB2312"/>
          <w:b w:val="0"/>
          <w:bCs/>
          <w:sz w:val="28"/>
          <w:szCs w:val="28"/>
          <w:u w:val="single"/>
          <w:lang w:val="en-US" w:eastAsia="zh-CN"/>
        </w:rPr>
        <w:t xml:space="preserve">  </w:t>
      </w:r>
      <w:r>
        <w:rPr>
          <w:rFonts w:hint="eastAsia" w:ascii="仿宋_GB2312" w:eastAsia="仿宋_GB2312"/>
          <w:b w:val="0"/>
          <w:bCs/>
          <w:sz w:val="28"/>
          <w:szCs w:val="28"/>
          <w:u w:val="single"/>
          <w:lang w:eastAsia="zh-CN"/>
        </w:rPr>
        <w:t>送</w:t>
      </w:r>
      <w:r>
        <w:rPr>
          <w:rFonts w:hint="eastAsia" w:ascii="仿宋_GB2312" w:eastAsia="仿宋_GB2312"/>
          <w:b w:val="0"/>
          <w:bCs/>
          <w:sz w:val="28"/>
          <w:szCs w:val="28"/>
          <w:u w:val="single"/>
        </w:rPr>
        <w:t>：</w:t>
      </w:r>
      <w:r>
        <w:rPr>
          <w:rFonts w:hint="eastAsia" w:ascii="仿宋_GB2312" w:eastAsia="仿宋_GB2312"/>
          <w:b w:val="0"/>
          <w:bCs/>
          <w:sz w:val="28"/>
          <w:szCs w:val="28"/>
          <w:u w:val="single"/>
          <w:lang w:eastAsia="zh-CN"/>
        </w:rPr>
        <w:t>董事会</w:t>
      </w:r>
      <w:r>
        <w:rPr>
          <w:rFonts w:hint="eastAsia" w:ascii="仿宋_GB2312" w:eastAsia="仿宋_GB2312"/>
          <w:b w:val="0"/>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0" w:firstLineChars="0"/>
        <w:jc w:val="both"/>
        <w:textAlignment w:val="auto"/>
        <w:outlineLvl w:val="9"/>
        <w:rPr>
          <w:rFonts w:hint="default" w:ascii="仿宋_GB2312" w:eastAsia="仿宋_GB2312"/>
          <w:sz w:val="28"/>
          <w:szCs w:val="28"/>
          <w:u w:val="single"/>
          <w:lang w:val="en-US"/>
        </w:rPr>
      </w:pPr>
      <w:r>
        <w:rPr>
          <w:rFonts w:hint="eastAsia" w:ascii="仿宋_GB2312" w:eastAsia="仿宋_GB2312"/>
          <w:b w:val="0"/>
          <w:bCs/>
          <w:sz w:val="28"/>
          <w:szCs w:val="28"/>
          <w:u w:val="single"/>
          <w:lang w:val="en-US" w:eastAsia="zh-CN"/>
        </w:rPr>
        <w:t xml:space="preserve">  </w:t>
      </w:r>
      <w:r>
        <w:rPr>
          <w:rFonts w:hint="eastAsia" w:ascii="仿宋_GB2312" w:eastAsia="仿宋_GB2312"/>
          <w:b w:val="0"/>
          <w:bCs/>
          <w:sz w:val="28"/>
          <w:szCs w:val="28"/>
          <w:u w:val="single"/>
          <w:lang w:eastAsia="zh-CN"/>
        </w:rPr>
        <w:t>发：</w:t>
      </w:r>
      <w:r>
        <w:rPr>
          <w:rFonts w:hint="eastAsia" w:ascii="仿宋_GB2312" w:eastAsia="仿宋_GB2312"/>
          <w:sz w:val="28"/>
          <w:szCs w:val="28"/>
          <w:u w:val="single"/>
          <w:lang w:eastAsia="zh-CN"/>
        </w:rPr>
        <w:t>各系（部）、处、室</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p>
    <w:p>
      <w:pPr>
        <w:pStyle w:val="2"/>
        <w:rPr>
          <w:rFonts w:hint="eastAsia" w:eastAsia="宋体"/>
          <w:lang w:val="en-US" w:eastAsia="zh-CN"/>
        </w:rPr>
      </w:pPr>
      <w:r>
        <w:rPr>
          <w:rFonts w:hint="eastAsia"/>
          <w:lang w:val="en-US" w:eastAsia="zh-CN"/>
        </w:rPr>
        <w:t xml:space="preserve"> </w:t>
      </w:r>
    </w:p>
    <w:p>
      <w:pPr>
        <w:spacing w:line="500" w:lineRule="exact"/>
        <w:jc w:val="left"/>
      </w:pPr>
      <w:r>
        <w:rPr>
          <w:rFonts w:hint="eastAsia" w:ascii="仿宋_GB2312" w:eastAsia="仿宋_GB2312"/>
          <w:spacing w:val="-45"/>
          <w:sz w:val="28"/>
          <w:szCs w:val="28"/>
          <w:lang w:val="en-US" w:eastAsia="zh-CN"/>
        </w:rPr>
        <w:t xml:space="preserve">                                                                                                                                </w:t>
      </w:r>
      <w:r>
        <w:rPr>
          <w:rFonts w:hint="eastAsia" w:ascii="仿宋_GB2312" w:eastAsia="仿宋_GB2312"/>
          <w:spacing w:val="0"/>
          <w:sz w:val="28"/>
          <w:szCs w:val="28"/>
        </w:rPr>
        <w:t>20</w:t>
      </w:r>
      <w:r>
        <w:rPr>
          <w:rFonts w:hint="eastAsia" w:ascii="仿宋_GB2312" w:eastAsia="仿宋_GB2312"/>
          <w:spacing w:val="0"/>
          <w:sz w:val="28"/>
          <w:szCs w:val="28"/>
          <w:lang w:val="en-US" w:eastAsia="zh-CN"/>
        </w:rPr>
        <w:t>19</w:t>
      </w:r>
      <w:r>
        <w:rPr>
          <w:rFonts w:hint="eastAsia" w:ascii="仿宋_GB2312" w:eastAsia="仿宋_GB2312"/>
          <w:spacing w:val="0"/>
          <w:sz w:val="28"/>
          <w:szCs w:val="28"/>
        </w:rPr>
        <w:t>年</w:t>
      </w:r>
      <w:r>
        <w:rPr>
          <w:rFonts w:hint="eastAsia" w:ascii="仿宋_GB2312" w:eastAsia="仿宋_GB2312"/>
          <w:spacing w:val="0"/>
          <w:sz w:val="28"/>
          <w:szCs w:val="28"/>
          <w:lang w:val="en-US" w:eastAsia="zh-CN"/>
        </w:rPr>
        <w:t>10</w:t>
      </w:r>
      <w:r>
        <w:rPr>
          <w:rFonts w:hint="eastAsia" w:ascii="仿宋_GB2312" w:eastAsia="仿宋_GB2312"/>
          <w:spacing w:val="0"/>
          <w:sz w:val="28"/>
          <w:szCs w:val="28"/>
        </w:rPr>
        <w:t>月</w:t>
      </w:r>
      <w:r>
        <w:rPr>
          <w:rFonts w:hint="eastAsia" w:ascii="仿宋_GB2312" w:eastAsia="仿宋_GB2312"/>
          <w:spacing w:val="0"/>
          <w:sz w:val="28"/>
          <w:szCs w:val="28"/>
          <w:lang w:val="en-US" w:eastAsia="zh-CN"/>
        </w:rPr>
        <w:t>18</w:t>
      </w:r>
      <w:r>
        <w:rPr>
          <w:rFonts w:hint="eastAsia" w:ascii="仿宋_GB2312" w:eastAsia="仿宋_GB2312"/>
          <w:spacing w:val="0"/>
          <w:sz w:val="28"/>
          <w:szCs w:val="28"/>
        </w:rPr>
        <w:t>日</w:t>
      </w:r>
      <w:r>
        <w:rPr>
          <w:rFonts w:hint="eastAsia" w:ascii="仿宋_GB2312" w:eastAsia="仿宋_GB2312"/>
          <w:spacing w:val="0"/>
          <w:sz w:val="28"/>
          <w:szCs w:val="28"/>
          <w:lang w:eastAsia="zh-CN"/>
        </w:rPr>
        <w:t>印发</w:t>
      </w:r>
      <w:r>
        <w:rPr>
          <w:rFonts w:hint="eastAsia" w:ascii="仿宋_GB2312" w:eastAsia="仿宋_GB2312"/>
          <w:spacing w:val="-38"/>
          <w:sz w:val="28"/>
          <w:szCs w:val="28"/>
        </w:rPr>
        <w:t xml:space="preserve">                                                                                                                                                                                   </w:t>
      </w:r>
    </w:p>
    <w:sectPr>
      <w:footerReference r:id="rId3" w:type="default"/>
      <w:pgSz w:w="11906" w:h="16838"/>
      <w:pgMar w:top="1240" w:right="82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D118D"/>
    <w:rsid w:val="2CFD118D"/>
    <w:rsid w:val="703F0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2019-10-21T09:10:00Z</dcterms:created>
  <dc:creator>Administrator</dc:creator>
  <cp:lastModifiedBy>Administrator</cp:lastModifiedBy>
  <cp:lastPrinted>2019-10-22T01:11:38Z</cp:lastPrinted>
  <dcterms:modified xsi:type="dcterms:W3CDTF">2019-10-22T01:13:39Z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